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37" w:rsidRDefault="00AB6A2B">
      <w:pPr>
        <w:spacing w:after="17" w:line="270" w:lineRule="auto"/>
        <w:ind w:left="975" w:right="0" w:hanging="821"/>
        <w:jc w:val="left"/>
      </w:pPr>
      <w:r>
        <w:rPr>
          <w:b/>
          <w:sz w:val="28"/>
        </w:rPr>
        <w:t xml:space="preserve">Рекомендации к подготовке к </w:t>
      </w:r>
      <w:proofErr w:type="gramStart"/>
      <w:r>
        <w:rPr>
          <w:b/>
          <w:sz w:val="28"/>
        </w:rPr>
        <w:t>ОГЭ  по</w:t>
      </w:r>
      <w:proofErr w:type="gramEnd"/>
      <w:r>
        <w:rPr>
          <w:b/>
          <w:sz w:val="28"/>
        </w:rPr>
        <w:t xml:space="preserve"> биологии 2019 года  </w:t>
      </w:r>
    </w:p>
    <w:p w:rsidR="00D77837" w:rsidRDefault="00AB6A2B">
      <w:pPr>
        <w:spacing w:after="0" w:line="259" w:lineRule="auto"/>
        <w:ind w:left="10" w:right="60" w:hanging="10"/>
        <w:jc w:val="center"/>
      </w:pPr>
      <w:r>
        <w:rPr>
          <w:b/>
          <w:sz w:val="28"/>
        </w:rPr>
        <w:t xml:space="preserve">для учащихся 9 классов </w:t>
      </w:r>
    </w:p>
    <w:p w:rsidR="00D77837" w:rsidRDefault="00AB6A2B">
      <w:pPr>
        <w:spacing w:after="0" w:line="259" w:lineRule="auto"/>
        <w:ind w:left="11" w:right="0" w:firstLine="0"/>
        <w:jc w:val="center"/>
      </w:pPr>
      <w:r>
        <w:rPr>
          <w:b/>
          <w:sz w:val="28"/>
        </w:rPr>
        <w:t xml:space="preserve"> </w:t>
      </w:r>
    </w:p>
    <w:p w:rsidR="00D77837" w:rsidRDefault="00AB6A2B">
      <w:pPr>
        <w:spacing w:after="0" w:line="259" w:lineRule="auto"/>
        <w:ind w:right="60" w:firstLine="0"/>
        <w:jc w:val="center"/>
      </w:pPr>
      <w:r>
        <w:rPr>
          <w:b/>
        </w:rPr>
        <w:t xml:space="preserve">Дорогой выпускник 2019 года! </w:t>
      </w:r>
    </w:p>
    <w:p w:rsidR="00D77837" w:rsidRDefault="00AB6A2B">
      <w:pPr>
        <w:spacing w:after="19" w:line="259" w:lineRule="auto"/>
        <w:ind w:right="0" w:firstLine="0"/>
        <w:jc w:val="center"/>
      </w:pPr>
      <w:r>
        <w:rPr>
          <w:b/>
        </w:rPr>
        <w:t xml:space="preserve"> </w:t>
      </w:r>
    </w:p>
    <w:p w:rsidR="00D77837" w:rsidRDefault="00AB6A2B">
      <w:pPr>
        <w:ind w:left="-15" w:right="0"/>
      </w:pPr>
      <w:r>
        <w:t xml:space="preserve">Результаты </w:t>
      </w:r>
      <w:r>
        <w:rPr>
          <w:b/>
        </w:rPr>
        <w:t>ОГЭ по биологии</w:t>
      </w:r>
      <w:r>
        <w:t xml:space="preserve"> в целях государственной итоговой аттестации позволяют оценить уровень общеобразовательной подготовки выпускников </w:t>
      </w:r>
      <w:r>
        <w:t xml:space="preserve">9 классов и могут быть использованы при приеме в профильные классы средней школы.  </w:t>
      </w:r>
    </w:p>
    <w:p w:rsidR="00D77837" w:rsidRDefault="00AB6A2B">
      <w:pPr>
        <w:ind w:left="-15" w:right="0"/>
      </w:pPr>
      <w:r>
        <w:t xml:space="preserve">ОГЭ по </w:t>
      </w:r>
      <w:r>
        <w:rPr>
          <w:b/>
        </w:rPr>
        <w:t>биологии</w:t>
      </w:r>
      <w:r>
        <w:t xml:space="preserve"> выпускники сдают </w:t>
      </w:r>
      <w:r>
        <w:rPr>
          <w:b/>
        </w:rPr>
        <w:t>по выбору</w:t>
      </w:r>
      <w:r>
        <w:t xml:space="preserve">. </w:t>
      </w:r>
    </w:p>
    <w:p w:rsidR="00D77837" w:rsidRDefault="00AB6A2B">
      <w:pPr>
        <w:ind w:left="-15" w:right="0"/>
      </w:pPr>
      <w:r>
        <w:t xml:space="preserve">На выполнение экзаменационной работы по биологии отводится </w:t>
      </w:r>
      <w:r>
        <w:rPr>
          <w:b/>
        </w:rPr>
        <w:t>3 часа (180 минут)</w:t>
      </w:r>
      <w:r>
        <w:t>. Задания экзаменационной работы проверяют знания,</w:t>
      </w:r>
      <w:r>
        <w:t xml:space="preserve"> умения и виды деятельности по блокам, аналогичным блокам курса биологии в основной школе. </w:t>
      </w:r>
    </w:p>
    <w:p w:rsidR="00D77837" w:rsidRDefault="00AB6A2B">
      <w:pPr>
        <w:ind w:left="-15" w:right="0"/>
      </w:pPr>
      <w:r>
        <w:t xml:space="preserve">Работа включает в себя </w:t>
      </w:r>
      <w:r>
        <w:rPr>
          <w:b/>
        </w:rPr>
        <w:t xml:space="preserve">32 задания </w:t>
      </w:r>
      <w:r>
        <w:t xml:space="preserve">и состоит из двух частей.  </w:t>
      </w:r>
    </w:p>
    <w:p w:rsidR="00D77837" w:rsidRDefault="00AB6A2B">
      <w:pPr>
        <w:ind w:left="-15" w:right="0"/>
      </w:pPr>
      <w:r>
        <w:rPr>
          <w:b/>
        </w:rPr>
        <w:t>Часть 1</w:t>
      </w:r>
      <w:r>
        <w:t xml:space="preserve"> содержит 28 заданий с кратким ответом: 22 задания </w:t>
      </w:r>
      <w:r>
        <w:rPr>
          <w:i/>
        </w:rPr>
        <w:t>базового уровня</w:t>
      </w:r>
      <w:r>
        <w:t xml:space="preserve"> </w:t>
      </w:r>
      <w:r>
        <w:rPr>
          <w:i/>
        </w:rPr>
        <w:t>сложности</w:t>
      </w:r>
      <w:r>
        <w:t xml:space="preserve"> с ответом в виде о</w:t>
      </w:r>
      <w:r>
        <w:t xml:space="preserve">дной цифры; 6 заданий </w:t>
      </w:r>
      <w:r>
        <w:rPr>
          <w:i/>
        </w:rPr>
        <w:t>повышенного уровня</w:t>
      </w:r>
      <w:r>
        <w:t xml:space="preserve"> </w:t>
      </w:r>
      <w:r>
        <w:rPr>
          <w:i/>
        </w:rPr>
        <w:t>сложности</w:t>
      </w:r>
      <w:r>
        <w:t xml:space="preserve">: 2 с выбором и записью трех верных ответов из </w:t>
      </w:r>
      <w:r>
        <w:lastRenderedPageBreak/>
        <w:t>шести, 3 на установление соответствия элементов двух информационных рядов (в том числе задание на включение пропущенных в тексте терминов и понятий, на соотнес</w:t>
      </w:r>
      <w:r>
        <w:t xml:space="preserve">ение морфологических признаков организма или его отдельных органов  с предложенными моделями по заданному алгоритму), 1 на определение последовательности биологических процессов, явлений, объектов.  </w:t>
      </w:r>
    </w:p>
    <w:p w:rsidR="00D77837" w:rsidRDefault="00AB6A2B">
      <w:pPr>
        <w:spacing w:after="52"/>
        <w:ind w:left="-15" w:right="0"/>
      </w:pPr>
      <w:r>
        <w:rPr>
          <w:b/>
        </w:rPr>
        <w:t>Часть 2</w:t>
      </w:r>
      <w:r>
        <w:t xml:space="preserve"> содержит задания с развернутым ответом: 1 </w:t>
      </w:r>
      <w:r>
        <w:rPr>
          <w:i/>
        </w:rPr>
        <w:t>повыше</w:t>
      </w:r>
      <w:r>
        <w:rPr>
          <w:i/>
        </w:rPr>
        <w:t>нного уровня сложности</w:t>
      </w:r>
      <w:r>
        <w:t xml:space="preserve"> на работу с текстом, предполагающее использование информации из </w:t>
      </w:r>
      <w:proofErr w:type="gramStart"/>
      <w:r>
        <w:t>текста  контекстных</w:t>
      </w:r>
      <w:proofErr w:type="gramEnd"/>
      <w:r>
        <w:t xml:space="preserve"> знаний для ответа на поставленные вопросы; 3 </w:t>
      </w:r>
      <w:r>
        <w:rPr>
          <w:i/>
        </w:rPr>
        <w:t>высокого уровня сложности</w:t>
      </w:r>
      <w:r>
        <w:t>: 1 на анализ статистических данных, представленных в табличной форме, 2 на при</w:t>
      </w:r>
      <w:r>
        <w:t xml:space="preserve">менение биологических знаний для решения практических задач. </w:t>
      </w:r>
    </w:p>
    <w:p w:rsidR="00D77837" w:rsidRDefault="00AB6A2B">
      <w:pPr>
        <w:ind w:left="-15" w:right="119"/>
      </w:pPr>
      <w:r>
        <w:rPr>
          <w:b/>
        </w:rPr>
        <w:t xml:space="preserve">Основные разделы курса </w:t>
      </w:r>
      <w:proofErr w:type="gramStart"/>
      <w:r>
        <w:rPr>
          <w:b/>
        </w:rPr>
        <w:t>школьной  биологии</w:t>
      </w:r>
      <w:proofErr w:type="gramEnd"/>
      <w:r>
        <w:rPr>
          <w:b/>
        </w:rPr>
        <w:t xml:space="preserve">, </w:t>
      </w:r>
      <w:r>
        <w:t xml:space="preserve">взятые за основу выделения блоков содержания, подлежащего проверке в ОГЭ: </w:t>
      </w:r>
    </w:p>
    <w:tbl>
      <w:tblPr>
        <w:tblStyle w:val="TableGrid"/>
        <w:tblW w:w="4870" w:type="dxa"/>
        <w:tblInd w:w="0" w:type="dxa"/>
        <w:tblCellMar>
          <w:top w:w="7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3552"/>
        <w:gridCol w:w="1318"/>
      </w:tblGrid>
      <w:tr w:rsidR="00D77837">
        <w:trPr>
          <w:trHeight w:val="677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37" w:rsidRDefault="00AB6A2B">
            <w:pPr>
              <w:spacing w:after="0" w:line="259" w:lineRule="auto"/>
              <w:ind w:right="58" w:firstLine="0"/>
              <w:jc w:val="center"/>
            </w:pPr>
            <w:r>
              <w:rPr>
                <w:sz w:val="22"/>
              </w:rPr>
              <w:t xml:space="preserve">Содержательные блоки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37" w:rsidRDefault="00AB6A2B">
            <w:pPr>
              <w:spacing w:after="0" w:line="259" w:lineRule="auto"/>
              <w:ind w:right="0" w:firstLine="0"/>
              <w:jc w:val="center"/>
            </w:pPr>
            <w:r>
              <w:rPr>
                <w:sz w:val="22"/>
              </w:rPr>
              <w:t xml:space="preserve">Количество заданий </w:t>
            </w:r>
          </w:p>
        </w:tc>
      </w:tr>
      <w:tr w:rsidR="00D77837">
        <w:trPr>
          <w:trHeight w:val="516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37" w:rsidRDefault="00AB6A2B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1. Биология как наука. Методы биологии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37" w:rsidRDefault="00AB6A2B">
            <w:pPr>
              <w:spacing w:after="0" w:line="259" w:lineRule="auto"/>
              <w:ind w:right="55" w:firstLine="0"/>
              <w:jc w:val="center"/>
            </w:pPr>
            <w:r>
              <w:rPr>
                <w:sz w:val="22"/>
              </w:rPr>
              <w:t xml:space="preserve">1–4 </w:t>
            </w:r>
          </w:p>
        </w:tc>
      </w:tr>
      <w:tr w:rsidR="00D77837">
        <w:trPr>
          <w:trHeight w:val="264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37" w:rsidRDefault="00AB6A2B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2. Признаки живых организмов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37" w:rsidRDefault="00AB6A2B">
            <w:pPr>
              <w:spacing w:after="0" w:line="259" w:lineRule="auto"/>
              <w:ind w:right="50" w:firstLine="0"/>
              <w:jc w:val="center"/>
            </w:pPr>
            <w:r>
              <w:rPr>
                <w:sz w:val="22"/>
              </w:rPr>
              <w:t xml:space="preserve">4–10 </w:t>
            </w:r>
          </w:p>
        </w:tc>
      </w:tr>
      <w:tr w:rsidR="00D77837">
        <w:trPr>
          <w:trHeight w:val="516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37" w:rsidRDefault="00AB6A2B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lastRenderedPageBreak/>
              <w:t xml:space="preserve">3. Система, многообразие и эволюция живой природы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37" w:rsidRDefault="00AB6A2B">
            <w:pPr>
              <w:spacing w:after="0" w:line="259" w:lineRule="auto"/>
              <w:ind w:right="50" w:firstLine="0"/>
              <w:jc w:val="center"/>
            </w:pPr>
            <w:r>
              <w:rPr>
                <w:sz w:val="22"/>
              </w:rPr>
              <w:t xml:space="preserve">6–10 </w:t>
            </w:r>
          </w:p>
        </w:tc>
      </w:tr>
      <w:tr w:rsidR="00D77837">
        <w:trPr>
          <w:trHeight w:val="262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37" w:rsidRDefault="00AB6A2B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4. Человек и его здоровье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37" w:rsidRDefault="00AB6A2B">
            <w:pPr>
              <w:spacing w:after="0" w:line="259" w:lineRule="auto"/>
              <w:ind w:right="50" w:firstLine="0"/>
              <w:jc w:val="center"/>
            </w:pPr>
            <w:r>
              <w:rPr>
                <w:sz w:val="22"/>
              </w:rPr>
              <w:t xml:space="preserve">12–17 </w:t>
            </w:r>
          </w:p>
        </w:tc>
      </w:tr>
      <w:tr w:rsidR="00D77837">
        <w:trPr>
          <w:trHeight w:val="516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37" w:rsidRDefault="00AB6A2B">
            <w:pPr>
              <w:spacing w:after="0" w:line="259" w:lineRule="auto"/>
              <w:ind w:right="0" w:firstLine="0"/>
            </w:pPr>
            <w:r>
              <w:rPr>
                <w:sz w:val="22"/>
              </w:rPr>
              <w:t xml:space="preserve">5. Взаимосвязи организмов и окружающей среды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837" w:rsidRDefault="00AB6A2B">
            <w:pPr>
              <w:spacing w:after="0" w:line="259" w:lineRule="auto"/>
              <w:ind w:right="58" w:firstLine="0"/>
              <w:jc w:val="center"/>
            </w:pPr>
            <w:r>
              <w:rPr>
                <w:sz w:val="22"/>
              </w:rPr>
              <w:t xml:space="preserve">6-10 </w:t>
            </w:r>
          </w:p>
        </w:tc>
      </w:tr>
    </w:tbl>
    <w:p w:rsidR="00AB6A2B" w:rsidRDefault="00AB6A2B">
      <w:pPr>
        <w:ind w:left="-15" w:right="114" w:firstLine="0"/>
        <w:rPr>
          <w:b/>
        </w:rPr>
      </w:pPr>
      <w:r>
        <w:t xml:space="preserve"> </w:t>
      </w:r>
      <w:r>
        <w:t xml:space="preserve">Экзаменационная работа предусматривает проверку </w:t>
      </w:r>
      <w:proofErr w:type="gramStart"/>
      <w:r>
        <w:t>результатов  усвоения</w:t>
      </w:r>
      <w:proofErr w:type="gramEnd"/>
      <w:r>
        <w:t xml:space="preserve"> знаний и овладения умениями учащихся на разных уровнях:  воспроизводить знания; применять знания и умения в знакомой, измененной и новой ситуациях.  </w:t>
      </w:r>
      <w:r>
        <w:rPr>
          <w:b/>
        </w:rPr>
        <w:t xml:space="preserve"> </w:t>
      </w:r>
    </w:p>
    <w:p w:rsidR="00D77837" w:rsidRDefault="00AB6A2B" w:rsidP="00AB6A2B">
      <w:pPr>
        <w:ind w:left="-15" w:right="114" w:firstLine="0"/>
      </w:pPr>
      <w:r>
        <w:rPr>
          <w:b/>
        </w:rPr>
        <w:t>Система оценивания выполнения отдель</w:t>
      </w:r>
      <w:r>
        <w:rPr>
          <w:b/>
        </w:rPr>
        <w:t xml:space="preserve">ных заданий. </w:t>
      </w:r>
      <w:r>
        <w:t>Верное выполнение каждого из заданий с кратким ответом 1-22 оценивается 1 баллом. За выполнение заданий 23-27 и 32, в зависимости от полноты и правильности ответа, выставляется от 0 до 2 баллов. Задания 28-31, в зависимости от полноты и правил</w:t>
      </w:r>
      <w:r>
        <w:t xml:space="preserve">ьности ответа, оцениваются от 0 до 3 баллов.  </w:t>
      </w:r>
      <w:r>
        <w:t xml:space="preserve"> </w:t>
      </w:r>
    </w:p>
    <w:p w:rsidR="00D77837" w:rsidRDefault="00AB6A2B">
      <w:pPr>
        <w:ind w:left="-15" w:right="0" w:firstLine="0"/>
      </w:pPr>
      <w:r>
        <w:t xml:space="preserve"> Максимальный первичный балл за выполнение всей экзаменационной работы – 46. </w:t>
      </w:r>
    </w:p>
    <w:p w:rsidR="00D77837" w:rsidRDefault="00AB6A2B">
      <w:pPr>
        <w:ind w:left="-15" w:right="0" w:firstLine="0"/>
      </w:pPr>
      <w:r>
        <w:t xml:space="preserve"> </w:t>
      </w:r>
      <w:r>
        <w:rPr>
          <w:b/>
          <w:i/>
        </w:rPr>
        <w:t>Рекомендуется ответы к заданиям оформлять</w:t>
      </w:r>
      <w:r>
        <w:t xml:space="preserve"> в соответствии с инструкцией к экзаменационной работе. Ответы к заданиям </w:t>
      </w:r>
      <w:r>
        <w:t xml:space="preserve">в виде последовательности цифр в тексте работы записываются в поле ответа без запятых, </w:t>
      </w:r>
      <w:r>
        <w:lastRenderedPageBreak/>
        <w:t>пробелов и прочих символов.  Если экзаменуемый указывает в ответе больше символов, чем в эталоне ответа, то за каждый лишний символ снижается 1 балл (до 0 баллов включит</w:t>
      </w:r>
      <w:r>
        <w:t>ельно).  В бланке ответов каждый символ записывать в отдельной клетке в соответствии с приведенными в бланке образцами. Ответы на задания, в которых требуется дать полный развернутый ответ, записываются в бланке №2. При выполнении заданий можно пользоватьс</w:t>
      </w:r>
      <w:r>
        <w:t xml:space="preserve">я черновиком.  </w:t>
      </w:r>
    </w:p>
    <w:p w:rsidR="00D77837" w:rsidRDefault="00AB6A2B">
      <w:pPr>
        <w:ind w:left="-15" w:right="0"/>
      </w:pPr>
      <w:r>
        <w:lastRenderedPageBreak/>
        <w:t xml:space="preserve">В КИМ 2019 года проверяются все элементы содержания и требования к уровню выпускников, проверявшиеся в 2018 г.  </w:t>
      </w:r>
    </w:p>
    <w:p w:rsidR="00D77837" w:rsidRDefault="00AB6A2B">
      <w:pPr>
        <w:spacing w:after="0" w:line="259" w:lineRule="auto"/>
        <w:ind w:left="437" w:right="0" w:hanging="10"/>
        <w:jc w:val="left"/>
      </w:pPr>
      <w:r>
        <w:rPr>
          <w:b/>
        </w:rPr>
        <w:t>Изменения</w:t>
      </w:r>
      <w:r>
        <w:t xml:space="preserve"> </w:t>
      </w:r>
      <w:r>
        <w:rPr>
          <w:b/>
        </w:rPr>
        <w:t>в КИМ 2019 г.</w:t>
      </w:r>
      <w:r>
        <w:t xml:space="preserve"> </w:t>
      </w:r>
      <w:r>
        <w:rPr>
          <w:b/>
        </w:rPr>
        <w:t>отсутствуют</w:t>
      </w:r>
      <w:r>
        <w:t xml:space="preserve">.  </w:t>
      </w:r>
    </w:p>
    <w:p w:rsidR="00D77837" w:rsidRDefault="00AB6A2B">
      <w:pPr>
        <w:spacing w:after="0" w:line="256" w:lineRule="auto"/>
        <w:ind w:right="0" w:firstLine="427"/>
      </w:pPr>
      <w:r>
        <w:rPr>
          <w:b/>
          <w:i/>
        </w:rPr>
        <w:t xml:space="preserve">Дополнительные материалы и оборудование </w:t>
      </w:r>
      <w:proofErr w:type="gramStart"/>
      <w:r>
        <w:rPr>
          <w:b/>
          <w:i/>
        </w:rPr>
        <w:t>на  экзамене</w:t>
      </w:r>
      <w:proofErr w:type="gramEnd"/>
      <w:r>
        <w:rPr>
          <w:b/>
          <w:i/>
        </w:rPr>
        <w:t xml:space="preserve">: </w:t>
      </w:r>
      <w:r>
        <w:t>линейка и непрограммируемый кальку</w:t>
      </w:r>
      <w:r>
        <w:t>лятор</w:t>
      </w:r>
      <w:r>
        <w:rPr>
          <w:i/>
        </w:rPr>
        <w:t xml:space="preserve">.  </w:t>
      </w:r>
    </w:p>
    <w:p w:rsidR="00D77837" w:rsidRDefault="00AB6A2B">
      <w:pPr>
        <w:ind w:left="-15" w:right="0"/>
      </w:pPr>
      <w:r>
        <w:t xml:space="preserve">С документами, регламентирующими проведение экзаменационной работы по биологии 2019 г., можно познакомиться на сайте Федерального института педагогических </w:t>
      </w:r>
      <w:proofErr w:type="gramStart"/>
      <w:r>
        <w:lastRenderedPageBreak/>
        <w:t xml:space="preserve">измерений  </w:t>
      </w:r>
      <w:proofErr w:type="spellStart"/>
      <w:r>
        <w:rPr>
          <w:u w:val="single" w:color="000000"/>
        </w:rPr>
        <w:t>http</w:t>
      </w:r>
      <w:proofErr w:type="spellEnd"/>
      <w:r>
        <w:rPr>
          <w:u w:val="single" w:color="000000"/>
        </w:rPr>
        <w:t>;//www.fipi.ru</w:t>
      </w:r>
      <w:proofErr w:type="gramEnd"/>
      <w:r>
        <w:rPr>
          <w:u w:val="single" w:color="000000"/>
        </w:rPr>
        <w:t>,</w:t>
      </w:r>
      <w:r>
        <w:t xml:space="preserve"> а также  использовать открытый банк ФИПИ при подготовке к экз</w:t>
      </w:r>
      <w:r>
        <w:t xml:space="preserve">амену. </w:t>
      </w:r>
    </w:p>
    <w:p w:rsidR="00D77837" w:rsidRDefault="00AB6A2B">
      <w:pPr>
        <w:spacing w:line="259" w:lineRule="auto"/>
        <w:ind w:left="566" w:right="0" w:firstLine="0"/>
        <w:jc w:val="left"/>
      </w:pPr>
      <w:r>
        <w:t xml:space="preserve"> </w:t>
      </w:r>
    </w:p>
    <w:p w:rsidR="00D77837" w:rsidRDefault="00AB6A2B">
      <w:pPr>
        <w:spacing w:after="33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D77837" w:rsidRDefault="00AB6A2B">
      <w:pPr>
        <w:spacing w:after="0" w:line="259" w:lineRule="auto"/>
        <w:ind w:left="10" w:right="4" w:hanging="10"/>
        <w:jc w:val="center"/>
        <w:rPr>
          <w:b/>
          <w:sz w:val="28"/>
        </w:rPr>
      </w:pPr>
      <w:r>
        <w:rPr>
          <w:b/>
          <w:sz w:val="28"/>
        </w:rPr>
        <w:t xml:space="preserve">Желаем удачи! </w:t>
      </w:r>
    </w:p>
    <w:p w:rsidR="00AB6A2B" w:rsidRDefault="00AB6A2B">
      <w:pPr>
        <w:spacing w:after="0" w:line="259" w:lineRule="auto"/>
        <w:ind w:left="10" w:right="4" w:hanging="10"/>
        <w:jc w:val="center"/>
        <w:rPr>
          <w:b/>
          <w:sz w:val="28"/>
        </w:rPr>
      </w:pPr>
    </w:p>
    <w:p w:rsidR="00AB6A2B" w:rsidRDefault="00AB6A2B">
      <w:pPr>
        <w:spacing w:after="0" w:line="259" w:lineRule="auto"/>
        <w:ind w:left="10" w:right="4" w:hanging="10"/>
        <w:jc w:val="center"/>
        <w:rPr>
          <w:b/>
          <w:sz w:val="28"/>
        </w:rPr>
      </w:pPr>
    </w:p>
    <w:p w:rsidR="00AB6A2B" w:rsidRDefault="00AB6A2B">
      <w:pPr>
        <w:spacing w:after="0" w:line="259" w:lineRule="auto"/>
        <w:ind w:left="10" w:right="4" w:hanging="10"/>
        <w:jc w:val="center"/>
        <w:rPr>
          <w:b/>
          <w:sz w:val="28"/>
        </w:rPr>
      </w:pPr>
    </w:p>
    <w:p w:rsidR="00AB6A2B" w:rsidRDefault="00AB6A2B">
      <w:pPr>
        <w:spacing w:after="0" w:line="259" w:lineRule="auto"/>
        <w:ind w:left="10" w:right="4" w:hanging="10"/>
        <w:jc w:val="center"/>
        <w:rPr>
          <w:b/>
          <w:sz w:val="28"/>
        </w:rPr>
      </w:pPr>
      <w:bookmarkStart w:id="0" w:name="_GoBack"/>
      <w:bookmarkEnd w:id="0"/>
    </w:p>
    <w:p w:rsidR="00AB6A2B" w:rsidRDefault="00AB6A2B">
      <w:pPr>
        <w:spacing w:after="0" w:line="259" w:lineRule="auto"/>
        <w:ind w:left="10" w:right="4" w:hanging="10"/>
        <w:jc w:val="center"/>
        <w:rPr>
          <w:b/>
          <w:sz w:val="28"/>
        </w:rPr>
      </w:pPr>
    </w:p>
    <w:p w:rsidR="00AB6A2B" w:rsidRDefault="00AB6A2B">
      <w:pPr>
        <w:spacing w:after="0" w:line="259" w:lineRule="auto"/>
        <w:ind w:left="10" w:right="4" w:hanging="10"/>
        <w:jc w:val="center"/>
        <w:rPr>
          <w:b/>
          <w:sz w:val="28"/>
        </w:rPr>
      </w:pPr>
    </w:p>
    <w:p w:rsidR="00AB6A2B" w:rsidRDefault="00AB6A2B">
      <w:pPr>
        <w:spacing w:after="0" w:line="259" w:lineRule="auto"/>
        <w:ind w:left="10" w:right="4" w:hanging="10"/>
        <w:jc w:val="center"/>
        <w:rPr>
          <w:b/>
          <w:sz w:val="28"/>
        </w:rPr>
      </w:pPr>
    </w:p>
    <w:p w:rsidR="00AB6A2B" w:rsidRDefault="00AB6A2B">
      <w:pPr>
        <w:spacing w:after="0" w:line="259" w:lineRule="auto"/>
        <w:ind w:left="10" w:right="4" w:hanging="10"/>
        <w:jc w:val="center"/>
        <w:rPr>
          <w:b/>
          <w:sz w:val="28"/>
        </w:rPr>
      </w:pPr>
    </w:p>
    <w:p w:rsidR="00AB6A2B" w:rsidRDefault="00AB6A2B">
      <w:pPr>
        <w:spacing w:after="0" w:line="259" w:lineRule="auto"/>
        <w:ind w:left="10" w:right="4" w:hanging="10"/>
        <w:jc w:val="center"/>
      </w:pPr>
    </w:p>
    <w:p w:rsidR="00D77837" w:rsidRDefault="00AB6A2B">
      <w:pPr>
        <w:spacing w:after="0" w:line="259" w:lineRule="auto"/>
        <w:ind w:left="53" w:right="0" w:firstLine="0"/>
        <w:jc w:val="center"/>
      </w:pPr>
      <w:r>
        <w:rPr>
          <w:b/>
          <w:sz w:val="22"/>
        </w:rPr>
        <w:t xml:space="preserve"> </w:t>
      </w:r>
    </w:p>
    <w:p w:rsidR="00D77837" w:rsidRDefault="00AB6A2B">
      <w:pPr>
        <w:spacing w:after="0" w:line="259" w:lineRule="auto"/>
        <w:ind w:left="53" w:right="0" w:firstLine="0"/>
        <w:jc w:val="center"/>
      </w:pPr>
      <w:r>
        <w:rPr>
          <w:b/>
          <w:sz w:val="22"/>
        </w:rPr>
        <w:t xml:space="preserve"> </w:t>
      </w:r>
    </w:p>
    <w:p w:rsidR="00D77837" w:rsidRDefault="00D77837">
      <w:pPr>
        <w:sectPr w:rsidR="00D77837" w:rsidSect="00AB6A2B">
          <w:pgSz w:w="16838" w:h="11906" w:orient="landscape"/>
          <w:pgMar w:top="170" w:right="567" w:bottom="170" w:left="567" w:header="720" w:footer="720" w:gutter="0"/>
          <w:cols w:num="3" w:space="646"/>
          <w:docGrid w:linePitch="326"/>
        </w:sectPr>
      </w:pPr>
    </w:p>
    <w:p w:rsidR="00AB6A2B" w:rsidRPr="00AB6A2B" w:rsidRDefault="00AB6A2B" w:rsidP="00AB6A2B">
      <w:pPr>
        <w:spacing w:after="0" w:line="240" w:lineRule="atLeast"/>
        <w:ind w:right="0" w:firstLine="0"/>
        <w:rPr>
          <w:noProof/>
          <w:sz w:val="22"/>
        </w:rPr>
      </w:pPr>
      <w:r w:rsidRPr="00AB6A2B">
        <w:rPr>
          <w:noProof/>
        </w:rPr>
        <w:lastRenderedPageBreak/>
        <w:drawing>
          <wp:inline distT="0" distB="0" distL="0" distR="0" wp14:anchorId="43296922" wp14:editId="26B31F96">
            <wp:extent cx="2924810" cy="1826111"/>
            <wp:effectExtent l="0" t="0" r="0" b="3175"/>
            <wp:docPr id="1" name="Рисунок 1" descr="ÐÑÐµ Ð¿ÑÐ¾ ÐÐÐ­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ÑÐµ Ð¿ÑÐ¾ ÐÐÐ­ 20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182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2B" w:rsidRPr="00AB6A2B" w:rsidRDefault="00AB6A2B" w:rsidP="00AB6A2B">
      <w:pPr>
        <w:spacing w:after="0" w:line="240" w:lineRule="atLeast"/>
        <w:ind w:right="0" w:firstLine="1679"/>
        <w:jc w:val="left"/>
        <w:rPr>
          <w:noProof/>
          <w:sz w:val="22"/>
        </w:rPr>
      </w:pPr>
    </w:p>
    <w:p w:rsidR="00AB6A2B" w:rsidRPr="00AB6A2B" w:rsidRDefault="00AB6A2B" w:rsidP="00AB6A2B">
      <w:pPr>
        <w:spacing w:after="0" w:line="240" w:lineRule="atLeast"/>
        <w:ind w:right="0" w:firstLine="1679"/>
        <w:jc w:val="left"/>
        <w:rPr>
          <w:noProof/>
          <w:sz w:val="22"/>
        </w:rPr>
      </w:pPr>
    </w:p>
    <w:p w:rsidR="00AB6A2B" w:rsidRPr="00AB6A2B" w:rsidRDefault="00AB6A2B" w:rsidP="00AB6A2B">
      <w:pPr>
        <w:spacing w:after="0" w:line="240" w:lineRule="atLeast"/>
        <w:ind w:right="0" w:firstLine="1679"/>
        <w:jc w:val="left"/>
        <w:rPr>
          <w:noProof/>
          <w:sz w:val="22"/>
        </w:rPr>
      </w:pPr>
    </w:p>
    <w:p w:rsidR="00AB6A2B" w:rsidRPr="00AB6A2B" w:rsidRDefault="00AB6A2B" w:rsidP="00AB6A2B">
      <w:pPr>
        <w:spacing w:after="0" w:line="240" w:lineRule="atLeast"/>
        <w:ind w:right="0" w:firstLine="1679"/>
        <w:jc w:val="left"/>
        <w:rPr>
          <w:noProof/>
          <w:sz w:val="22"/>
        </w:rPr>
      </w:pPr>
    </w:p>
    <w:p w:rsidR="00AB6A2B" w:rsidRPr="00AB6A2B" w:rsidRDefault="00AB6A2B" w:rsidP="00AB6A2B">
      <w:pPr>
        <w:spacing w:after="0" w:line="240" w:lineRule="atLeast"/>
        <w:ind w:right="0" w:firstLine="0"/>
        <w:jc w:val="center"/>
        <w:rPr>
          <w:sz w:val="40"/>
          <w:szCs w:val="40"/>
        </w:rPr>
      </w:pPr>
      <w:r w:rsidRPr="00AB6A2B">
        <w:rPr>
          <w:b/>
          <w:sz w:val="40"/>
          <w:szCs w:val="40"/>
        </w:rPr>
        <w:t xml:space="preserve">Готовимся к ОГЭ ─ 2019 </w:t>
      </w:r>
    </w:p>
    <w:p w:rsidR="00AB6A2B" w:rsidRPr="00AB6A2B" w:rsidRDefault="00AB6A2B" w:rsidP="00AB6A2B">
      <w:pPr>
        <w:spacing w:after="0" w:line="240" w:lineRule="atLeast"/>
        <w:ind w:right="0" w:firstLine="0"/>
        <w:jc w:val="center"/>
      </w:pPr>
      <w:r w:rsidRPr="00AB6A2B">
        <w:rPr>
          <w:b/>
          <w:sz w:val="28"/>
        </w:rPr>
        <w:t xml:space="preserve">  </w:t>
      </w:r>
    </w:p>
    <w:p w:rsidR="00AB6A2B" w:rsidRDefault="00AB6A2B" w:rsidP="00AB6A2B">
      <w:pPr>
        <w:keepNext/>
        <w:keepLines/>
        <w:spacing w:after="0" w:line="240" w:lineRule="atLeast"/>
        <w:ind w:right="0" w:firstLine="0"/>
        <w:jc w:val="center"/>
        <w:outlineLvl w:val="0"/>
        <w:rPr>
          <w:b/>
          <w:sz w:val="40"/>
        </w:rPr>
      </w:pPr>
      <w:r>
        <w:rPr>
          <w:b/>
          <w:sz w:val="40"/>
        </w:rPr>
        <w:t>Биология</w:t>
      </w:r>
    </w:p>
    <w:p w:rsidR="00AB6A2B" w:rsidRPr="00AB6A2B" w:rsidRDefault="00AB6A2B" w:rsidP="00AB6A2B">
      <w:pPr>
        <w:keepNext/>
        <w:keepLines/>
        <w:spacing w:after="0" w:line="240" w:lineRule="atLeast"/>
        <w:ind w:right="0" w:firstLine="0"/>
        <w:jc w:val="center"/>
        <w:outlineLvl w:val="0"/>
      </w:pPr>
    </w:p>
    <w:p w:rsidR="00AB6A2B" w:rsidRPr="00AB6A2B" w:rsidRDefault="00AB6A2B" w:rsidP="00AB6A2B">
      <w:pPr>
        <w:spacing w:after="18" w:line="258" w:lineRule="auto"/>
        <w:ind w:right="0" w:firstLine="710"/>
      </w:pPr>
      <w:r w:rsidRPr="00AB6A2B">
        <w:rPr>
          <w:noProof/>
        </w:rPr>
        <w:drawing>
          <wp:inline distT="0" distB="0" distL="0" distR="0" wp14:anchorId="40CF75FD" wp14:editId="71EE4319">
            <wp:extent cx="2202203" cy="2210776"/>
            <wp:effectExtent l="0" t="0" r="7620" b="0"/>
            <wp:docPr id="2" name="Рисунок 2" descr="ÐÐ°ÑÑÐ¸Ð½ÐºÐ¸ Ð¿Ð¾ Ð·Ð°Ð¿ÑÐ¾ÑÑ Ð²ÑÐ¿ÑÑÐºÐ½Ð¸Ðº 2019 ÐºÐ°ÑÑÐ¸Ð½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Ð²ÑÐ¿ÑÑÐºÐ½Ð¸Ðº 2019 ÐºÐ°ÑÑÐ¸Ð½Ðº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017" cy="22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A2B" w:rsidRPr="00AB6A2B" w:rsidRDefault="00AB6A2B" w:rsidP="00AB6A2B">
      <w:pPr>
        <w:spacing w:after="0" w:line="240" w:lineRule="atLeast"/>
        <w:ind w:right="0" w:firstLine="0"/>
        <w:jc w:val="center"/>
      </w:pPr>
      <w:r w:rsidRPr="00AB6A2B">
        <w:rPr>
          <w:b/>
          <w:sz w:val="28"/>
        </w:rPr>
        <w:t xml:space="preserve"> </w:t>
      </w:r>
    </w:p>
    <w:p w:rsidR="00AB6A2B" w:rsidRPr="00AB6A2B" w:rsidRDefault="00AB6A2B" w:rsidP="00AB6A2B">
      <w:pPr>
        <w:spacing w:after="0" w:line="240" w:lineRule="atLeast"/>
        <w:ind w:right="0" w:firstLine="0"/>
        <w:jc w:val="left"/>
      </w:pPr>
    </w:p>
    <w:p w:rsidR="00AB6A2B" w:rsidRPr="00AB6A2B" w:rsidRDefault="00AB6A2B" w:rsidP="00AB6A2B">
      <w:pPr>
        <w:spacing w:after="0" w:line="240" w:lineRule="atLeast"/>
        <w:ind w:right="0" w:firstLine="0"/>
        <w:jc w:val="left"/>
      </w:pPr>
    </w:p>
    <w:p w:rsidR="00AB6A2B" w:rsidRPr="00AB6A2B" w:rsidRDefault="00AB6A2B" w:rsidP="00AB6A2B">
      <w:pPr>
        <w:spacing w:after="0" w:line="240" w:lineRule="atLeast"/>
        <w:ind w:right="0" w:firstLine="0"/>
        <w:jc w:val="left"/>
      </w:pPr>
    </w:p>
    <w:p w:rsidR="00D77837" w:rsidRDefault="00AB6A2B">
      <w:pPr>
        <w:spacing w:after="0" w:line="259" w:lineRule="auto"/>
        <w:ind w:left="1508" w:right="0" w:firstLine="0"/>
        <w:jc w:val="left"/>
      </w:pPr>
      <w:r>
        <w:rPr>
          <w:b/>
          <w:sz w:val="22"/>
        </w:rPr>
        <w:tab/>
      </w:r>
      <w:r>
        <w:rPr>
          <w:b/>
          <w:sz w:val="22"/>
        </w:rPr>
        <w:t xml:space="preserve"> </w:t>
      </w:r>
    </w:p>
    <w:p w:rsidR="00D77837" w:rsidRDefault="00AB6A2B">
      <w:pPr>
        <w:spacing w:after="0" w:line="259" w:lineRule="auto"/>
        <w:ind w:left="1508" w:right="0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</w:p>
    <w:p w:rsidR="00D77837" w:rsidRDefault="00AB6A2B">
      <w:pPr>
        <w:spacing w:after="0" w:line="259" w:lineRule="auto"/>
        <w:ind w:left="1508" w:right="0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</w:p>
    <w:p w:rsidR="00D77837" w:rsidRDefault="00AB6A2B">
      <w:pPr>
        <w:spacing w:after="0" w:line="259" w:lineRule="auto"/>
        <w:ind w:left="11547" w:right="0" w:firstLine="0"/>
        <w:jc w:val="left"/>
      </w:pPr>
      <w:r>
        <w:rPr>
          <w:noProof/>
        </w:rPr>
        <w:drawing>
          <wp:inline distT="0" distB="0" distL="0" distR="0">
            <wp:extent cx="1276350" cy="1228725"/>
            <wp:effectExtent l="0" t="0" r="0" b="0"/>
            <wp:docPr id="714" name="Picture 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Picture 7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837" w:rsidRDefault="00AB6A2B">
      <w:pPr>
        <w:spacing w:after="0" w:line="259" w:lineRule="auto"/>
        <w:ind w:left="1508" w:right="1164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</w:p>
    <w:sectPr w:rsidR="00D77837" w:rsidSect="00AB6A2B">
      <w:type w:val="continuous"/>
      <w:pgSz w:w="16838" w:h="11906" w:orient="landscape"/>
      <w:pgMar w:top="1440" w:right="677" w:bottom="944" w:left="1440" w:header="720" w:footer="720" w:gutter="0"/>
      <w:cols w:num="3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37"/>
    <w:rsid w:val="00AB6A2B"/>
    <w:rsid w:val="00D7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68F1"/>
  <w15:docId w15:val="{433C7ACE-E493-45AC-8382-4E961B4A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6" w:lineRule="auto"/>
      <w:ind w:right="54" w:firstLine="41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1"/>
      <w:ind w:left="1508"/>
      <w:outlineLvl w:val="0"/>
    </w:pPr>
    <w:rPr>
      <w:rFonts w:ascii="Times New Roman" w:eastAsia="Times New Roman" w:hAnsi="Times New Roman" w:cs="Times New Roman"/>
      <w:b/>
      <w:color w:val="000000"/>
      <w:sz w:val="31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1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3299</Characters>
  <Application>Microsoft Office Word</Application>
  <DocSecurity>0</DocSecurity>
  <Lines>27</Lines>
  <Paragraphs>7</Paragraphs>
  <ScaleCrop>false</ScaleCrop>
  <Company>HP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КЕНЭО</dc:creator>
  <cp:keywords/>
  <cp:lastModifiedBy>HP</cp:lastModifiedBy>
  <cp:revision>2</cp:revision>
  <dcterms:created xsi:type="dcterms:W3CDTF">2019-03-09T13:51:00Z</dcterms:created>
  <dcterms:modified xsi:type="dcterms:W3CDTF">2019-03-09T13:51:00Z</dcterms:modified>
</cp:coreProperties>
</file>